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pPr>
      <w:r>
        <w:rPr>
          <w:b/>
          <w:bCs/>
          <w:color w:val="E8A317"/>
          <w:spacing w:val="40"/>
          <w:sz w:val="20"/>
          <w:szCs w:val="20"/>
        </w:rPr>
        <w:t xml:space="preserve">RESIDENTIAL SOLAR PERMITTING</w:t>
      </w:r>
    </w:p>
    <w:p>
      <w:pPr>
        <w:spacing w:after="120"/>
      </w:pPr>
      <w:r>
        <w:rPr>
          <w:b/>
          <w:bCs/>
          <w:color w:val="1F3A5F"/>
          <w:sz w:val="48"/>
          <w:szCs w:val="48"/>
        </w:rPr>
        <w:t xml:space="preserve">Municipal Communication Process</w:t>
      </w:r>
    </w:p>
    <w:p>
      <w:pPr>
        <w:spacing w:after="240"/>
      </w:pPr>
      <w:r>
        <w:rPr>
          <w:color w:val="5A5A5A"/>
          <w:sz w:val="28"/>
          <w:szCs w:val="28"/>
        </w:rPr>
        <w:t xml:space="preserve">Nassau and Suffolk Counties, New York</w:t>
      </w:r>
    </w:p>
    <w:p>
      <w:pPr>
        <w:pBdr>
          <w:bottom w:val="single" w:color="E8A317" w:sz="12" w:space="4"/>
        </w:pBdr>
        <w:spacing w:after="200"/>
      </w:pPr>
      <w:r>
        <w:rPr>
          <w:color w:val="5A5A5A"/>
          <w:sz w:val="20"/>
          <w:szCs w:val="20"/>
        </w:rPr>
        <w:t xml:space="preserve">Prepared by Dan Devine  |  September 2026</w:t>
      </w:r>
    </w:p>
    <w:p>
      <w:pPr>
        <w:pStyle w:val="Heading1"/>
      </w:pPr>
      <w:r>
        <w:t xml:space="preserve">1. Purpose and Scope</w:t>
      </w:r>
    </w:p>
    <w:p>
      <w:pPr>
        <w:spacing w:after="120" w:line="276"/>
      </w:pPr>
      <w:r>
        <w:t xml:space="preserve">This document outlines a repeatable process for communicating with Long Island municipalities to obtain building permits for residential rooftop solar photovoltaic (PV) installations. It covers how to identify the correct permitting authority, how to use each communication channel (phone, email, and online forms or portals), what to submit, how to follow up, and how to keep every project moving from application to final sign-off.</w:t>
      </w:r>
    </w:p>
    <w:p>
      <w:pPr>
        <w:spacing w:after="120" w:line="276"/>
      </w:pPr>
      <w:r>
        <w:t xml:space="preserve">The goal is simple: fewer rejected submissions, shorter wait times, and a clear record of every contact with every municipality, so that no project stalls without someone knowing why.</w:t>
      </w:r>
    </w:p>
    <w:p>
      <w:pPr>
        <w:pStyle w:val="Heading1"/>
      </w:pPr>
      <w:r>
        <w:t xml:space="preserve">2. The Permitting Landscape</w:t>
      </w:r>
    </w:p>
    <w:p>
      <w:pPr>
        <w:pStyle w:val="Heading2"/>
      </w:pPr>
      <w:r>
        <w:t xml:space="preserve">2.1 Who Has Jurisdiction</w:t>
      </w:r>
    </w:p>
    <w:p>
      <w:pPr>
        <w:spacing w:after="120" w:line="276"/>
      </w:pPr>
      <w:r>
        <w:t xml:space="preserve">The single most important step is sending the application to the right office. On Long Island, the permitting authority (the "authority having jurisdiction," or AHJ) is not the county. It is the town, city, or incorporated village where the home sits.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00"/>
        <w:gridCol w:w="3580"/>
        <w:gridCol w:w="3580"/>
      </w:tblGrid>
      <w:tr>
        <w:trPr>
          <w:tblHeader/>
        </w:trPr>
        <w:tc>
          <w:tcPr>
            <w:tcW w:type="dxa" w:w="22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
            </w:r>
          </w:p>
        </w:tc>
        <w:tc>
          <w:tcPr>
            <w:tcW w:type="dxa" w:w="358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Nassau County</w:t>
            </w:r>
          </w:p>
        </w:tc>
        <w:tc>
          <w:tcPr>
            <w:tcW w:type="dxa" w:w="358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Suffolk County</w:t>
            </w:r>
          </w:p>
        </w:tc>
      </w:tr>
      <w:tr>
        <w:trPr>
          <w:cantSplit/>
        </w:trPr>
        <w:tc>
          <w:tcPr>
            <w:tcW w:type="dxa" w:w="22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Towns</w:t>
            </w:r>
          </w:p>
        </w:tc>
        <w:tc>
          <w:tcPr>
            <w:tcW w:type="dxa" w:w="358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Hempstead, North Hempstead, Oyster Bay</w:t>
            </w:r>
          </w:p>
        </w:tc>
        <w:tc>
          <w:tcPr>
            <w:tcW w:type="dxa" w:w="358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Babylon, Brookhaven, East Hampton, Huntington, Islip, Riverhead, Shelter Island, Smithtown, Southampton, Southold</w:t>
            </w:r>
          </w:p>
        </w:tc>
      </w:tr>
      <w:tr>
        <w:trPr>
          <w:cantSplit/>
        </w:trPr>
        <w:tc>
          <w:tcPr>
            <w:tcW w:type="dxa" w:w="22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Cities</w:t>
            </w:r>
          </w:p>
        </w:tc>
        <w:tc>
          <w:tcPr>
            <w:tcW w:type="dxa" w:w="358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Glen Cove, Long Beach</w:t>
            </w:r>
          </w:p>
        </w:tc>
        <w:tc>
          <w:tcPr>
            <w:tcW w:type="dxa" w:w="358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None</w:t>
            </w:r>
          </w:p>
        </w:tc>
      </w:tr>
      <w:tr>
        <w:trPr>
          <w:cantSplit/>
        </w:trPr>
        <w:tc>
          <w:tcPr>
            <w:tcW w:type="dxa" w:w="22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Incorporated villages</w:t>
            </w:r>
          </w:p>
        </w:tc>
        <w:tc>
          <w:tcPr>
            <w:tcW w:type="dxa" w:w="358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64</w:t>
            </w:r>
          </w:p>
        </w:tc>
        <w:tc>
          <w:tcPr>
            <w:tcW w:type="dxa" w:w="358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Roughly 30, each with its own building department</w:t>
            </w:r>
          </w:p>
        </w:tc>
      </w:tr>
      <w:tr>
        <w:trPr>
          <w:cantSplit/>
        </w:trPr>
        <w:tc>
          <w:tcPr>
            <w:tcW w:type="dxa" w:w="22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Hamlets (unincorporated)</w:t>
            </w:r>
          </w:p>
        </w:tc>
        <w:tc>
          <w:tcPr>
            <w:tcW w:type="dxa" w:w="358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Permitted by the surrounding town</w:t>
            </w:r>
          </w:p>
        </w:tc>
        <w:tc>
          <w:tcPr>
            <w:tcW w:type="dxa" w:w="358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Permitted by the surrounding town</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E8A317" w:sz="24"/>
              <w:bottom w:val="none" w:color="FFFFFF" w:sz="0"/>
              <w:right w:val="none" w:color="FFFFFF" w:sz="0"/>
            </w:tcBorders>
            <w:shd w:fill="FDF4E1" w:color="auto" w:val="clear"/>
            <w:tcMar>
              <w:top w:type="dxa" w:w="120"/>
              <w:left w:type="dxa" w:w="200"/>
              <w:bottom w:type="dxa" w:w="120"/>
              <w:right w:type="dxa" w:w="200"/>
            </w:tcMar>
          </w:tcPr>
          <w:p>
            <w:pPr>
              <w:spacing w:after="80"/>
            </w:pPr>
            <w:r>
              <w:rPr>
                <w:b/>
                <w:bCs/>
                <w:color w:val="1F3A5F"/>
              </w:rPr>
              <w:t xml:space="preserve">Rule of thumb</w:t>
            </w:r>
          </w:p>
          <w:p>
            <w:pPr>
              <w:spacing w:after="60"/>
            </w:pPr>
            <w:r>
              <w:rPr>
                <w:sz w:val="20"/>
                <w:szCs w:val="20"/>
              </w:rPr>
              <w:t xml:space="preserve">If the home is in an incorporated village, the village building department issues the permit. If it is in a hamlet (for example, Huntington Station, Levittown, or Centereach), the town issues it. A mailing address or ZIP code does not reliably tell you which applies. Confirm with the property tax map and, when in doubt, a quick call to the town building department.</w:t>
            </w:r>
          </w:p>
        </w:tc>
      </w:tr>
    </w:tbl>
    <w:p>
      <w:pPr>
        <w:pStyle w:val="Heading2"/>
      </w:pPr>
      <w:r>
        <w:t xml:space="preserve">2.2 Streamlined Solar Permits</w:t>
      </w:r>
    </w:p>
    <w:p>
      <w:pPr>
        <w:spacing w:after="120" w:line="276"/>
      </w:pPr>
      <w:r>
        <w:t xml:space="preserve">Long Island has a long history of standardizing solar permits. In 2009 the Suffolk and Nassau County Planning Commissions and LIPA launched the Long Island Unified Solar Permitting Initiative, which produced a "Fast Track" application that many towns and villages adopted. NYSERDA later built the statewide NYS Unified Solar Permit from that model; it applies to residential systems up to 25 kW in municipalities that have formally adopted it.</w:t>
      </w:r>
    </w:p>
    <w:p>
      <w:pPr>
        <w:spacing w:after="120" w:line="276"/>
      </w:pPr>
      <w:r>
        <w:t xml:space="preserve">Not every Long Island municipality participates, and those that do still set their own fees, submission methods, and supporting-document requirements. Treat each municipality as its own process and confirm details before each first submission.</w:t>
      </w:r>
    </w:p>
    <w:p>
      <w:pPr>
        <w:pStyle w:val="Heading2"/>
      </w:pPr>
      <w:r>
        <w:t xml:space="preserve">2.3 Other Agencies in the Process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830"/>
        <w:gridCol w:w="3230"/>
      </w:tblGrid>
      <w:tr>
        <w:trPr>
          <w:tblHeader/>
        </w:trPr>
        <w:tc>
          <w:tcPr>
            <w:tcW w:type="dxa" w:w="23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Agency</w:t>
            </w:r>
          </w:p>
        </w:tc>
        <w:tc>
          <w:tcPr>
            <w:tcW w:type="dxa" w:w="383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Role</w:t>
            </w:r>
          </w:p>
        </w:tc>
        <w:tc>
          <w:tcPr>
            <w:tcW w:type="dxa" w:w="323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Communication note</w:t>
            </w:r>
          </w:p>
        </w:tc>
      </w:tr>
      <w:tr>
        <w:trPr>
          <w:cantSplit/>
        </w:trPr>
        <w:tc>
          <w:tcPr>
            <w:tcW w:type="dxa" w:w="23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Municipal building department</w:t>
            </w:r>
          </w:p>
        </w:tc>
        <w:tc>
          <w:tcPr>
            <w:tcW w:type="dxa" w:w="383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Reviews and issues the building permit; conducts building inspection; issues certificate of completion or occupancy</w:t>
            </w:r>
          </w:p>
        </w:tc>
        <w:tc>
          <w:tcPr>
            <w:tcW w:type="dxa" w:w="323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Primary point of contact for this process</w:t>
            </w:r>
          </w:p>
        </w:tc>
      </w:tr>
      <w:tr>
        <w:trPr>
          <w:cantSplit/>
        </w:trPr>
        <w:tc>
          <w:tcPr>
            <w:tcW w:type="dxa" w:w="23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County consumer affairs office</w:t>
            </w:r>
          </w:p>
        </w:tc>
        <w:tc>
          <w:tcPr>
            <w:tcW w:type="dxa" w:w="383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Issues the home improvement contractor license that municipalities require (Nassau County Office of Consumer Affairs; Suffolk County Department of Labor, Licensing &amp; Consumer Affairs)</w:t>
            </w:r>
          </w:p>
        </w:tc>
        <w:tc>
          <w:tcPr>
            <w:tcW w:type="dxa" w:w="323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Keep current license copies on file for every submission. Some villages and towns also require their own license or registration.</w:t>
            </w:r>
          </w:p>
        </w:tc>
      </w:tr>
      <w:tr>
        <w:trPr>
          <w:cantSplit/>
        </w:trPr>
        <w:tc>
          <w:tcPr>
            <w:tcW w:type="dxa" w:w="23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Third-party electrical inspection agency</w:t>
            </w:r>
          </w:p>
        </w:tc>
        <w:tc>
          <w:tcPr>
            <w:tcW w:type="dxa" w:w="383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Performs the electrical inspection in towns that do not do their own (Huntington, for example)</w:t>
            </w:r>
          </w:p>
        </w:tc>
        <w:tc>
          <w:tcPr>
            <w:tcW w:type="dxa" w:w="323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Schedule once work is complete; certificate goes to the building department</w:t>
            </w:r>
          </w:p>
        </w:tc>
      </w:tr>
      <w:tr>
        <w:trPr>
          <w:cantSplit/>
        </w:trPr>
        <w:tc>
          <w:tcPr>
            <w:tcW w:type="dxa" w:w="23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PSEG Long Island (for LIPA)</w:t>
            </w:r>
          </w:p>
        </w:tc>
        <w:tc>
          <w:tcPr>
            <w:tcW w:type="dxa" w:w="383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Interconnection approval and permission to operate, through its online portal</w:t>
            </w:r>
          </w:p>
        </w:tc>
        <w:tc>
          <w:tcPr>
            <w:tcW w:type="dxa" w:w="323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Runs in parallel with the municipal permit; coordinate so neither side holds up the other</w:t>
            </w:r>
          </w:p>
        </w:tc>
      </w:tr>
    </w:tbl>
    <w:p>
      <w:r>
        <w:br w:type="page"/>
      </w:r>
    </w:p>
    <w:p>
      <w:pPr>
        <w:pStyle w:val="Heading1"/>
      </w:pPr>
      <w:r>
        <w:t xml:space="preserve">3. The Communication Process, Step by Step</w:t>
      </w:r>
    </w:p>
    <w:p>
      <w:pPr>
        <w:spacing w:after="120" w:line="276"/>
      </w:pPr>
      <w:r>
        <w:t xml:space="preserve">Each residential project moves through six phases. The communication tasks in each phase are listed below, along with the channel that usually works best.</w:t>
      </w:r>
    </w:p>
    <w:p>
      <w:pPr>
        <w:pStyle w:val="Heading2"/>
      </w:pPr>
      <w:r>
        <w:t xml:space="preserve">Phase 1: Identify the Permitting Authority</w:t>
      </w:r>
    </w:p>
    <w:p>
      <w:pPr>
        <w:pStyle w:val="ListParagraph"/>
        <w:numPr>
          <w:ilvl w:val="0"/>
          <w:numId w:val="2"/>
        </w:numPr>
        <w:spacing w:after="60" w:line="264"/>
      </w:pPr>
      <w:r>
        <w:t xml:space="preserve">Look up the property on the county tax map to confirm the town and whether it falls inside an incorporated village.</w:t>
      </w:r>
    </w:p>
    <w:p>
      <w:pPr>
        <w:pStyle w:val="ListParagraph"/>
        <w:numPr>
          <w:ilvl w:val="0"/>
          <w:numId w:val="2"/>
        </w:numPr>
        <w:spacing w:after="60" w:line="264"/>
      </w:pPr>
      <w:r>
        <w:t xml:space="preserve">Check for special reviews: historic districts, architectural review boards, coastal or waterfront zones, and homeowners' association rules can add steps.</w:t>
      </w:r>
    </w:p>
    <w:p>
      <w:pPr>
        <w:pStyle w:val="ListParagraph"/>
        <w:numPr>
          <w:ilvl w:val="0"/>
          <w:numId w:val="2"/>
        </w:numPr>
        <w:spacing w:after="60" w:line="264"/>
      </w:pPr>
      <w:r>
        <w:t xml:space="preserve">Record the AHJ, its permit portal or submission method, and the main contact in the project tracking log (Section 6).</w:t>
      </w:r>
    </w:p>
    <w:p>
      <w:pPr>
        <w:pStyle w:val="Heading2"/>
      </w:pPr>
      <w:r>
        <w:t xml:space="preserve">Phase 2: Pre-Submission Research and Outreach</w:t>
      </w:r>
    </w:p>
    <w:p>
      <w:pPr>
        <w:pStyle w:val="ListParagraph"/>
        <w:numPr>
          <w:ilvl w:val="0"/>
          <w:numId w:val="2"/>
        </w:numPr>
        <w:spacing w:after="60" w:line="264"/>
      </w:pPr>
      <w:r>
        <w:rPr>
          <w:b/>
          <w:bCs/>
        </w:rPr>
        <w:t xml:space="preserve">Website first. </w:t>
      </w:r>
      <w:r>
        <w:t xml:space="preserve">Pull the current solar application, checklist, fee schedule, and any fast-track form from the municipality's website or permit portal. Forms change; never reuse a copy from an old job without checking the version.</w:t>
      </w:r>
    </w:p>
    <w:p>
      <w:pPr>
        <w:pStyle w:val="ListParagraph"/>
        <w:numPr>
          <w:ilvl w:val="0"/>
          <w:numId w:val="2"/>
        </w:numPr>
        <w:spacing w:after="60" w:line="264"/>
      </w:pPr>
      <w:r>
        <w:rPr>
          <w:b/>
          <w:bCs/>
        </w:rPr>
        <w:t xml:space="preserve">Call to confirm when anything is unclear. </w:t>
      </w:r>
      <w:r>
        <w:t xml:space="preserve">A five-minute call can prevent a two-week rejection. Confirm the current form, fee, number of copies, whether a stamped engineering letter is needed, and whether submissions go through the portal, by email, by mail, or in person.</w:t>
      </w:r>
    </w:p>
    <w:p>
      <w:pPr>
        <w:pStyle w:val="ListParagraph"/>
        <w:numPr>
          <w:ilvl w:val="0"/>
          <w:numId w:val="2"/>
        </w:numPr>
        <w:spacing w:after="60" w:line="264"/>
      </w:pPr>
      <w:r>
        <w:rPr>
          <w:b/>
          <w:bCs/>
        </w:rPr>
        <w:t xml:space="preserve">Build a municipality profile. </w:t>
      </w:r>
      <w:r>
        <w:t xml:space="preserve">After the first job in any municipality, save what you learned (preferred channel, reviewer names, quirks, typical turnaround) so the next job starts ahead.</w:t>
      </w:r>
    </w:p>
    <w:p>
      <w:pPr>
        <w:pStyle w:val="Heading2"/>
      </w:pPr>
      <w:r>
        <w:t xml:space="preserve">Phase 3: Assemble and Submit the Application</w:t>
      </w:r>
    </w:p>
    <w:p>
      <w:pPr>
        <w:spacing w:after="120" w:line="276"/>
      </w:pPr>
      <w:r>
        <w:t xml:space="preserve">Requirements vary, but most Long Island municipalities ask for some combination of the following. The Town of Hempstead's published solar filing instructions are a good example of a complete package.</w:t>
      </w:r>
    </w:p>
    <w:p>
      <w:pPr>
        <w:pStyle w:val="ListParagraph"/>
        <w:numPr>
          <w:ilvl w:val="0"/>
          <w:numId w:val="2"/>
        </w:numPr>
        <w:spacing w:after="60" w:line="264"/>
      </w:pPr>
      <w:r>
        <w:t xml:space="preserve">Building permit application and, where adopted, the Long Island Fast Track or NYS Unified Solar Permit form</w:t>
      </w:r>
    </w:p>
    <w:p>
      <w:pPr>
        <w:pStyle w:val="ListParagraph"/>
        <w:numPr>
          <w:ilvl w:val="0"/>
          <w:numId w:val="2"/>
        </w:numPr>
        <w:spacing w:after="60" w:line="264"/>
      </w:pPr>
      <w:r>
        <w:t xml:space="preserve">Notarized owner's affidavit or authorization (some towns, like Brookhaven, use a solar-specific affidavit confirming all structures have valid certificates of occupancy)</w:t>
      </w:r>
    </w:p>
    <w:p>
      <w:pPr>
        <w:pStyle w:val="ListParagraph"/>
        <w:numPr>
          <w:ilvl w:val="0"/>
          <w:numId w:val="2"/>
        </w:numPr>
        <w:spacing w:after="60" w:line="264"/>
      </w:pPr>
      <w:r>
        <w:t xml:space="preserve">Recent property survey and a plot or site plan showing panel locations</w:t>
      </w:r>
    </w:p>
    <w:p>
      <w:pPr>
        <w:pStyle w:val="ListParagraph"/>
        <w:numPr>
          <w:ilvl w:val="0"/>
          <w:numId w:val="2"/>
        </w:numPr>
        <w:spacing w:after="60" w:line="264"/>
      </w:pPr>
      <w:r>
        <w:t xml:space="preserve">Plan set: roof layout, attachment details, electrical single-line diagram, and equipment spec sheets</w:t>
      </w:r>
    </w:p>
    <w:p>
      <w:pPr>
        <w:pStyle w:val="ListParagraph"/>
        <w:numPr>
          <w:ilvl w:val="0"/>
          <w:numId w:val="2"/>
        </w:numPr>
        <w:spacing w:after="60" w:line="264"/>
      </w:pPr>
      <w:r>
        <w:t xml:space="preserve">Design professional's certification or engineer's letter addressing roof loads and wind speeds</w:t>
      </w:r>
    </w:p>
    <w:p>
      <w:pPr>
        <w:pStyle w:val="ListParagraph"/>
        <w:numPr>
          <w:ilvl w:val="0"/>
          <w:numId w:val="2"/>
        </w:numPr>
        <w:spacing w:after="60" w:line="264"/>
      </w:pPr>
      <w:r>
        <w:t xml:space="preserve">Contractor's county home improvement license</w:t>
      </w:r>
    </w:p>
    <w:p>
      <w:pPr>
        <w:pStyle w:val="ListParagraph"/>
        <w:numPr>
          <w:ilvl w:val="0"/>
          <w:numId w:val="2"/>
        </w:numPr>
        <w:spacing w:after="60" w:line="264"/>
      </w:pPr>
      <w:r>
        <w:t xml:space="preserve">Proof of insurance: workers' compensation and disability (C-105.2, U-26.3, or CE-200 exemption) and liability</w:t>
      </w:r>
    </w:p>
    <w:p>
      <w:pPr>
        <w:pStyle w:val="ListParagraph"/>
        <w:numPr>
          <w:ilvl w:val="0"/>
          <w:numId w:val="2"/>
        </w:numPr>
        <w:spacing w:after="60" w:line="264"/>
      </w:pPr>
      <w:r>
        <w:t xml:space="preserve">Consent-for-inspection form, where required, and the application fee</w:t>
      </w:r>
    </w:p>
    <w:p>
      <w:pPr>
        <w:spacing w:after="120" w:line="276"/>
      </w:pPr>
      <w:r>
        <w:t xml:space="preserve">Before sending, run the package against the municipality's checklist line by line. Incomplete applications are the most common cause of delay, and many departments will not start review until everything is in.</w:t>
      </w:r>
    </w:p>
    <w:p>
      <w:pPr>
        <w:pStyle w:val="Heading2"/>
      </w:pPr>
      <w:r>
        <w:t xml:space="preserve">Phase 4: Confirm Receipt and Follow Up</w:t>
      </w:r>
    </w:p>
    <w:p>
      <w:pPr>
        <w:spacing w:after="120" w:line="276"/>
      </w:pPr>
      <w:r>
        <w:t xml:space="preserve">Every submission should be followed by a confirmation of receipt and a predictable follow-up schedule.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4760"/>
        <w:gridCol w:w="2200"/>
      </w:tblGrid>
      <w:tr>
        <w:trPr>
          <w:tblHeader/>
        </w:trPr>
        <w:tc>
          <w:tcPr>
            <w:tcW w:type="dxa" w:w="24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When</w:t>
            </w:r>
          </w:p>
        </w:tc>
        <w:tc>
          <w:tcPr>
            <w:tcW w:type="dxa" w:w="476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Action</w:t>
            </w:r>
          </w:p>
        </w:tc>
        <w:tc>
          <w:tcPr>
            <w:tcW w:type="dxa" w:w="22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Channel</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Day of submission</w:t>
            </w:r>
          </w:p>
        </w:tc>
        <w:tc>
          <w:tcPr>
            <w:tcW w:type="dxa" w:w="47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Save the portal confirmation or application number; log it</w:t>
            </w:r>
          </w:p>
        </w:tc>
        <w:tc>
          <w:tcPr>
            <w:tcW w:type="dxa" w:w="22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Portal / tracking log</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2 business days</w:t>
            </w:r>
          </w:p>
        </w:tc>
        <w:tc>
          <w:tcPr>
            <w:tcW w:type="dxa" w:w="47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If submitted by email or mail and no acknowledgment has arrived, confirm receipt</w:t>
            </w:r>
          </w:p>
        </w:tc>
        <w:tc>
          <w:tcPr>
            <w:tcW w:type="dxa" w:w="22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Phone, then email recap</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Every 7 to 10 business days</w:t>
            </w:r>
          </w:p>
        </w:tc>
        <w:tc>
          <w:tcPr>
            <w:tcW w:type="dxa" w:w="47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Check status on the portal; if unchanged, send a short, polite status inquiry</w:t>
            </w:r>
          </w:p>
        </w:tc>
        <w:tc>
          <w:tcPr>
            <w:tcW w:type="dxa" w:w="22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Portal, then email</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Past the municipality's stated turnaround</w:t>
            </w:r>
          </w:p>
        </w:tc>
        <w:tc>
          <w:tcPr>
            <w:tcW w:type="dxa" w:w="47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Call the building department and ask whether anything is missing or needed</w:t>
            </w:r>
          </w:p>
        </w:tc>
        <w:tc>
          <w:tcPr>
            <w:tcW w:type="dxa" w:w="22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Phone</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Still stalled after that call</w:t>
            </w:r>
          </w:p>
        </w:tc>
        <w:tc>
          <w:tcPr>
            <w:tcW w:type="dxa" w:w="47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Escalate respectfully to the plans examiner's supervisor or the building commissioner's office</w:t>
            </w:r>
          </w:p>
        </w:tc>
        <w:tc>
          <w:tcPr>
            <w:tcW w:type="dxa" w:w="22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Phone and email</w:t>
            </w:r>
          </w:p>
        </w:tc>
      </w:tr>
    </w:tbl>
    <w:p>
      <w:pPr>
        <w:pStyle w:val="Heading2"/>
      </w:pPr>
      <w:r>
        <w:t xml:space="preserve">Phase 5: Respond to Comments or Corrections</w:t>
      </w:r>
    </w:p>
    <w:p>
      <w:pPr>
        <w:pStyle w:val="ListParagraph"/>
        <w:numPr>
          <w:ilvl w:val="0"/>
          <w:numId w:val="2"/>
        </w:numPr>
        <w:spacing w:after="60" w:line="264"/>
      </w:pPr>
      <w:r>
        <w:t xml:space="preserve">Acknowledge a correction notice the same day, even if the fix will take longer.</w:t>
      </w:r>
    </w:p>
    <w:p>
      <w:pPr>
        <w:pStyle w:val="ListParagraph"/>
        <w:numPr>
          <w:ilvl w:val="0"/>
          <w:numId w:val="2"/>
        </w:numPr>
        <w:spacing w:after="60" w:line="264"/>
      </w:pPr>
      <w:r>
        <w:t xml:space="preserve">Route technical comments to the design team immediately, with the reviewer's exact wording.</w:t>
      </w:r>
    </w:p>
    <w:p>
      <w:pPr>
        <w:pStyle w:val="ListParagraph"/>
        <w:numPr>
          <w:ilvl w:val="0"/>
          <w:numId w:val="2"/>
        </w:numPr>
        <w:spacing w:after="60" w:line="264"/>
      </w:pPr>
      <w:r>
        <w:t xml:space="preserve">Resubmit with a short cover note that lists each comment and how it was addressed, so the reviewer does not have to hunt.</w:t>
      </w:r>
    </w:p>
    <w:p>
      <w:pPr>
        <w:pStyle w:val="ListParagraph"/>
        <w:numPr>
          <w:ilvl w:val="0"/>
          <w:numId w:val="2"/>
        </w:numPr>
        <w:spacing w:after="60" w:line="264"/>
      </w:pPr>
      <w:r>
        <w:t xml:space="preserve">Call the reviewer if a comment is ambiguous rather than guessing and risking a second rejection.</w:t>
      </w:r>
    </w:p>
    <w:p>
      <w:pPr>
        <w:pStyle w:val="Heading2"/>
      </w:pPr>
      <w:r>
        <w:t xml:space="preserve">Phase 6: Permit Issuance, Inspections, and Closeout</w:t>
      </w:r>
    </w:p>
    <w:p>
      <w:pPr>
        <w:pStyle w:val="ListParagraph"/>
        <w:numPr>
          <w:ilvl w:val="0"/>
          <w:numId w:val="2"/>
        </w:numPr>
        <w:spacing w:after="60" w:line="264"/>
      </w:pPr>
      <w:r>
        <w:t xml:space="preserve">Confirm the permit is issued and share it with the install team and the customer; post it on site as required.</w:t>
      </w:r>
    </w:p>
    <w:p>
      <w:pPr>
        <w:pStyle w:val="ListParagraph"/>
        <w:numPr>
          <w:ilvl w:val="0"/>
          <w:numId w:val="2"/>
        </w:numPr>
        <w:spacing w:after="60" w:line="264"/>
      </w:pPr>
      <w:r>
        <w:t xml:space="preserve">After installation, schedule the electrical inspection (through a third-party agency where the town does not inspect) and request the building inspection through the portal or by phone.</w:t>
      </w:r>
    </w:p>
    <w:p>
      <w:pPr>
        <w:pStyle w:val="ListParagraph"/>
        <w:numPr>
          <w:ilvl w:val="0"/>
          <w:numId w:val="2"/>
        </w:numPr>
        <w:spacing w:after="60" w:line="264"/>
      </w:pPr>
      <w:r>
        <w:t xml:space="preserve">Submit inspection certificates to the building department and request the certificate of completion or occupancy.</w:t>
      </w:r>
    </w:p>
    <w:p>
      <w:pPr>
        <w:pStyle w:val="ListParagraph"/>
        <w:numPr>
          <w:ilvl w:val="0"/>
          <w:numId w:val="2"/>
        </w:numPr>
        <w:spacing w:after="60" w:line="264"/>
      </w:pPr>
      <w:r>
        <w:t xml:space="preserve">Send final municipal approvals to whoever is handling the PSEG Long Island interconnection so permission to operate is not delayed.</w:t>
      </w:r>
    </w:p>
    <w:p>
      <w:r>
        <w:br w:type="page"/>
      </w:r>
    </w:p>
    <w:p>
      <w:pPr>
        <w:pStyle w:val="Heading1"/>
      </w:pPr>
      <w:r>
        <w:t xml:space="preserve">4. Channel Guidance</w:t>
      </w:r>
    </w:p>
    <w:p>
      <w:pPr>
        <w:pStyle w:val="Heading2"/>
      </w:pPr>
      <w:r>
        <w:t xml:space="preserve">4.1 Phone</w:t>
      </w:r>
    </w:p>
    <w:p>
      <w:pPr>
        <w:pStyle w:val="ListParagraph"/>
        <w:numPr>
          <w:ilvl w:val="0"/>
          <w:numId w:val="2"/>
        </w:numPr>
        <w:spacing w:after="60" w:line="264"/>
      </w:pPr>
      <w:r>
        <w:t xml:space="preserve">Call mid-morning or early afternoon on Tuesday through Thursday; Monday mornings and the lunch hour are usually busiest.</w:t>
      </w:r>
    </w:p>
    <w:p>
      <w:pPr>
        <w:pStyle w:val="ListParagraph"/>
        <w:numPr>
          <w:ilvl w:val="0"/>
          <w:numId w:val="2"/>
        </w:numPr>
        <w:spacing w:after="60" w:line="264"/>
      </w:pPr>
      <w:r>
        <w:t xml:space="preserve">Have the property address, section-block-lot, application number, and your questions written down before dialing.</w:t>
      </w:r>
    </w:p>
    <w:p>
      <w:pPr>
        <w:pStyle w:val="ListParagraph"/>
        <w:numPr>
          <w:ilvl w:val="0"/>
          <w:numId w:val="2"/>
        </w:numPr>
        <w:spacing w:after="60" w:line="264"/>
      </w:pPr>
      <w:r>
        <w:t xml:space="preserve">Ask for the name of the person you speak with, and note the date, time, and what was said.</w:t>
      </w:r>
    </w:p>
    <w:p>
      <w:pPr>
        <w:pStyle w:val="ListParagraph"/>
        <w:numPr>
          <w:ilvl w:val="0"/>
          <w:numId w:val="2"/>
        </w:numPr>
        <w:spacing w:after="60" w:line="264"/>
      </w:pPr>
      <w:r>
        <w:t xml:space="preserve">Follow every substantive call with a short email recap ("Per our call today...") so there is a written record.</w:t>
      </w:r>
    </w:p>
    <w:p>
      <w:pPr>
        <w:pStyle w:val="Heading2"/>
      </w:pPr>
      <w:r>
        <w:t xml:space="preserve">4.2 Email</w:t>
      </w:r>
    </w:p>
    <w:p>
      <w:pPr>
        <w:pStyle w:val="ListParagraph"/>
        <w:numPr>
          <w:ilvl w:val="0"/>
          <w:numId w:val="2"/>
        </w:numPr>
        <w:spacing w:after="60" w:line="264"/>
      </w:pPr>
      <w:r>
        <w:t xml:space="preserve">Put the key identifiers in the subject line: address, application number, and the request (for example, "Status inquiry").</w:t>
      </w:r>
    </w:p>
    <w:p>
      <w:pPr>
        <w:pStyle w:val="ListParagraph"/>
        <w:numPr>
          <w:ilvl w:val="0"/>
          <w:numId w:val="2"/>
        </w:numPr>
        <w:spacing w:after="60" w:line="264"/>
      </w:pPr>
      <w:r>
        <w:t xml:space="preserve">Keep one email thread per project so the history stays together.</w:t>
      </w:r>
    </w:p>
    <w:p>
      <w:pPr>
        <w:pStyle w:val="ListParagraph"/>
        <w:numPr>
          <w:ilvl w:val="0"/>
          <w:numId w:val="2"/>
        </w:numPr>
        <w:spacing w:after="60" w:line="264"/>
      </w:pPr>
      <w:r>
        <w:t xml:space="preserve">Be brief and specific: one clear ask per email, with a date if a response is time-sensitive.</w:t>
      </w:r>
    </w:p>
    <w:p>
      <w:pPr>
        <w:pStyle w:val="ListParagraph"/>
        <w:numPr>
          <w:ilvl w:val="0"/>
          <w:numId w:val="2"/>
        </w:numPr>
        <w:spacing w:after="60" w:line="264"/>
      </w:pPr>
      <w:r>
        <w:t xml:space="preserve">Attach documents as clearly named PDFs (for example, "123-Main-St_Plan-Set_Rev1.pdf").</w:t>
      </w:r>
    </w:p>
    <w:p>
      <w:pPr>
        <w:pStyle w:val="Heading2"/>
      </w:pPr>
      <w:r>
        <w:t xml:space="preserve">4.3 Website Forms and Permit Portals</w:t>
      </w:r>
    </w:p>
    <w:p>
      <w:pPr>
        <w:pStyle w:val="ListParagraph"/>
        <w:numPr>
          <w:ilvl w:val="0"/>
          <w:numId w:val="2"/>
        </w:numPr>
        <w:spacing w:after="60" w:line="264"/>
      </w:pPr>
      <w:r>
        <w:t xml:space="preserve">Create and maintain one company account per portal, with shared credentials managed securely.</w:t>
      </w:r>
    </w:p>
    <w:p>
      <w:pPr>
        <w:pStyle w:val="ListParagraph"/>
        <w:numPr>
          <w:ilvl w:val="0"/>
          <w:numId w:val="2"/>
        </w:numPr>
        <w:spacing w:after="60" w:line="264"/>
      </w:pPr>
      <w:r>
        <w:t xml:space="preserve">Save every confirmation page or number immediately and record it in the tracking log.</w:t>
      </w:r>
    </w:p>
    <w:p>
      <w:pPr>
        <w:pStyle w:val="ListParagraph"/>
        <w:numPr>
          <w:ilvl w:val="0"/>
          <w:numId w:val="2"/>
        </w:numPr>
        <w:spacing w:after="60" w:line="264"/>
      </w:pPr>
      <w:r>
        <w:t xml:space="preserve">Use the portal's messaging feature for questions when one exists; it keeps the conversation attached to the application.</w:t>
      </w:r>
    </w:p>
    <w:p>
      <w:pPr>
        <w:pStyle w:val="ListParagraph"/>
        <w:numPr>
          <w:ilvl w:val="0"/>
          <w:numId w:val="2"/>
        </w:numPr>
        <w:spacing w:after="60" w:line="264"/>
      </w:pPr>
      <w:r>
        <w:t xml:space="preserve">For general contact forms (no portal), keep a copy of what was submitted, since many forms do not send a copy back.</w:t>
      </w:r>
    </w:p>
    <w:p>
      <w:pPr>
        <w:pStyle w:val="ListParagraph"/>
        <w:numPr>
          <w:ilvl w:val="0"/>
          <w:numId w:val="2"/>
        </w:numPr>
        <w:spacing w:after="60" w:line="264"/>
      </w:pPr>
      <w:r>
        <w:t xml:space="preserve">Check portal statuses on a set schedule rather than waiting for notification emails, which are sometimes missed or filtered as spam.</w:t>
      </w:r>
    </w:p>
    <w:p>
      <w:pPr>
        <w:pStyle w:val="Heading1"/>
      </w:pPr>
      <w:r>
        <w:t xml:space="preserve">5. Examples From Three Large Towns</w:t>
      </w:r>
    </w:p>
    <w:p>
      <w:pPr>
        <w:spacing w:after="120" w:line="276"/>
      </w:pPr>
      <w:r>
        <w:t xml:space="preserve">The details below show how much practice varies even among the largest towns. Fees and forms change, so confirm current requirements before each first submission.</w:t>
      </w:r>
    </w:p>
    <w:p>
      <w:pPr>
        <w:pStyle w:val="Heading3"/>
      </w:pPr>
      <w:r>
        <w:t xml:space="preserve">Town of Hempstead (Nassau)</w:t>
      </w:r>
    </w:p>
    <w:p>
      <w:pPr>
        <w:pStyle w:val="ListParagraph"/>
        <w:numPr>
          <w:ilvl w:val="0"/>
          <w:numId w:val="2"/>
        </w:numPr>
        <w:spacing w:after="60" w:line="264"/>
      </w:pPr>
      <w:r>
        <w:rPr>
          <w:b/>
          <w:bCs/>
        </w:rPr>
        <w:t xml:space="preserve">Submission: </w:t>
      </w:r>
      <w:r>
        <w:t xml:space="preserve">Online through the town's building permit portal, which also supports status tracking, inspection requests, and messaging with staff.</w:t>
      </w:r>
    </w:p>
    <w:p>
      <w:pPr>
        <w:pStyle w:val="ListParagraph"/>
        <w:numPr>
          <w:ilvl w:val="0"/>
          <w:numId w:val="2"/>
        </w:numPr>
        <w:spacing w:after="60" w:line="264"/>
      </w:pPr>
      <w:r>
        <w:rPr>
          <w:b/>
          <w:bCs/>
        </w:rPr>
        <w:t xml:space="preserve">General questions: </w:t>
      </w:r>
      <w:r>
        <w:t xml:space="preserve">TOHBuildingQuestions@hempsteadny.gov; Department of Buildings, 1 Washington Street, Hempstead, (516) 538-8500.</w:t>
      </w:r>
    </w:p>
    <w:p>
      <w:pPr>
        <w:pStyle w:val="ListParagraph"/>
        <w:numPr>
          <w:ilvl w:val="0"/>
          <w:numId w:val="2"/>
        </w:numPr>
        <w:spacing w:after="60" w:line="264"/>
      </w:pPr>
      <w:r>
        <w:rPr>
          <w:b/>
          <w:bCs/>
        </w:rPr>
        <w:t xml:space="preserve">Package: </w:t>
      </w:r>
      <w:r>
        <w:t xml:space="preserve">Notarized owner affidavit, recent survey, Long Island Fast Track application, consent-for-inspection form, sealed design professional certification, home improvement license and insurance, and a plot plan showing panel locations.</w:t>
      </w:r>
    </w:p>
    <w:p>
      <w:pPr>
        <w:pStyle w:val="Heading3"/>
      </w:pPr>
      <w:r>
        <w:t xml:space="preserve">Town of Huntington (Suffolk)</w:t>
      </w:r>
    </w:p>
    <w:p>
      <w:pPr>
        <w:pStyle w:val="ListParagraph"/>
        <w:numPr>
          <w:ilvl w:val="0"/>
          <w:numId w:val="2"/>
        </w:numPr>
        <w:spacing w:after="60" w:line="264"/>
      </w:pPr>
      <w:r>
        <w:rPr>
          <w:b/>
          <w:bCs/>
        </w:rPr>
        <w:t xml:space="preserve">Submission: </w:t>
      </w:r>
      <w:r>
        <w:t xml:space="preserve">Applications through the town's permit portal; Town Hall is at 100 Main Street, Huntington, (631) 351-3000.</w:t>
      </w:r>
    </w:p>
    <w:p>
      <w:pPr>
        <w:pStyle w:val="ListParagraph"/>
        <w:numPr>
          <w:ilvl w:val="0"/>
          <w:numId w:val="2"/>
        </w:numPr>
        <w:spacing w:after="60" w:line="264"/>
      </w:pPr>
      <w:r>
        <w:rPr>
          <w:b/>
          <w:bCs/>
        </w:rPr>
        <w:t xml:space="preserve">Package: </w:t>
      </w:r>
      <w:r>
        <w:t xml:space="preserve">Two copies of the Building Permit Application (Form 87-01) plus the Solar Energy System Fast-Track application (Form 87-05). Town code defines "standard installations" (flush-mounted, single roof layer, ridge setbacks, NY-Sun participating installer, and similar criteria) that qualify for the expedited track.</w:t>
      </w:r>
    </w:p>
    <w:p>
      <w:pPr>
        <w:pStyle w:val="ListParagraph"/>
        <w:numPr>
          <w:ilvl w:val="0"/>
          <w:numId w:val="2"/>
        </w:numPr>
        <w:spacing w:after="60" w:line="264"/>
      </w:pPr>
      <w:r>
        <w:rPr>
          <w:b/>
          <w:bCs/>
        </w:rPr>
        <w:t xml:space="preserve">Inspections: </w:t>
      </w:r>
      <w:r>
        <w:t xml:space="preserve">The town does not perform electrical inspections, so a third-party agency is required.</w:t>
      </w:r>
    </w:p>
    <w:p>
      <w:pPr>
        <w:pStyle w:val="Heading3"/>
      </w:pPr>
      <w:r>
        <w:t xml:space="preserve">Town of Brookhaven (Suffolk)</w:t>
      </w:r>
    </w:p>
    <w:p>
      <w:pPr>
        <w:pStyle w:val="ListParagraph"/>
        <w:numPr>
          <w:ilvl w:val="0"/>
          <w:numId w:val="2"/>
        </w:numPr>
        <w:spacing w:after="60" w:line="264"/>
      </w:pPr>
      <w:r>
        <w:rPr>
          <w:b/>
          <w:bCs/>
        </w:rPr>
        <w:t xml:space="preserve">Submission: </w:t>
      </w:r>
      <w:r>
        <w:t xml:space="preserve">Building Division, which lists solar panels among its residential permit types. Expediters must register with the town annually.</w:t>
      </w:r>
    </w:p>
    <w:p>
      <w:pPr>
        <w:pStyle w:val="ListParagraph"/>
        <w:numPr>
          <w:ilvl w:val="0"/>
          <w:numId w:val="2"/>
        </w:numPr>
        <w:spacing w:after="60" w:line="264"/>
      </w:pPr>
      <w:r>
        <w:rPr>
          <w:b/>
          <w:bCs/>
        </w:rPr>
        <w:t xml:space="preserve">Package: </w:t>
      </w:r>
      <w:r>
        <w:t xml:space="preserve">Solar fast-track application plus a solar affidavit in which the owner attests that all structures, including the one receiving panels, have valid certificates of occupancy and that any pool has a certificate of compliance.</w:t>
      </w:r>
    </w:p>
    <w:p>
      <w:pPr>
        <w:pStyle w:val="ListParagraph"/>
        <w:numPr>
          <w:ilvl w:val="0"/>
          <w:numId w:val="2"/>
        </w:numPr>
        <w:spacing w:after="60" w:line="264"/>
      </w:pPr>
      <w:r>
        <w:rPr>
          <w:b/>
          <w:bCs/>
        </w:rPr>
        <w:t xml:space="preserve">Why it matters: </w:t>
      </w:r>
      <w:r>
        <w:t xml:space="preserve">Open or missing certificates of occupancy are a common hidden delay. Checking the property's permit history early avoids surprises.</w:t>
      </w:r>
    </w:p>
    <w:p>
      <w:pPr>
        <w:pStyle w:val="Heading1"/>
      </w:pPr>
      <w:r>
        <w:t xml:space="preserve">6. Project Tracking Log</w:t>
      </w:r>
    </w:p>
    <w:p>
      <w:pPr>
        <w:spacing w:after="120" w:line="276"/>
      </w:pPr>
      <w:r>
        <w:t xml:space="preserve">Every contact with a municipality should be logged, whether it is a call, an email, or a portal update. A shared spreadsheet or CRM with the fields below lets anyone on the team pick up a project mid-stream.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6960"/>
      </w:tblGrid>
      <w:tr>
        <w:trPr>
          <w:tblHeader/>
        </w:trPr>
        <w:tc>
          <w:tcPr>
            <w:tcW w:type="dxa" w:w="24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Field</w:t>
            </w:r>
          </w:p>
        </w:tc>
        <w:tc>
          <w:tcPr>
            <w:tcW w:type="dxa" w:w="696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What to record</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Project</w:t>
            </w:r>
          </w:p>
        </w:tc>
        <w:tc>
          <w:tcPr>
            <w:tcW w:type="dxa" w:w="69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Customer name and property address</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AHJ</w:t>
            </w:r>
          </w:p>
        </w:tc>
        <w:tc>
          <w:tcPr>
            <w:tcW w:type="dxa" w:w="69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Town, city, or village; portal or submission method</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Application #</w:t>
            </w:r>
          </w:p>
        </w:tc>
        <w:tc>
          <w:tcPr>
            <w:tcW w:type="dxa" w:w="69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Municipal application or permit number</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Submitted</w:t>
            </w:r>
          </w:p>
        </w:tc>
        <w:tc>
          <w:tcPr>
            <w:tcW w:type="dxa" w:w="69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Date and channel</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Contact log</w:t>
            </w:r>
          </w:p>
        </w:tc>
        <w:tc>
          <w:tcPr>
            <w:tcW w:type="dxa" w:w="69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Date, channel, person spoken with, summary, next step</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Status</w:t>
            </w:r>
          </w:p>
        </w:tc>
        <w:tc>
          <w:tcPr>
            <w:tcW w:type="dxa" w:w="69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Researching / Submitted / Under review / Corrections / Issued / Inspected / Closed</w:t>
            </w:r>
          </w:p>
        </w:tc>
      </w:tr>
      <w:tr>
        <w:trPr>
          <w:cantSplit/>
        </w:trPr>
        <w:tc>
          <w:tcPr>
            <w:tcW w:type="dxa" w:w="24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Next follow-up</w:t>
            </w:r>
          </w:p>
        </w:tc>
        <w:tc>
          <w:tcPr>
            <w:tcW w:type="dxa" w:w="69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Date of next scheduled check</w:t>
            </w:r>
          </w:p>
        </w:tc>
      </w:tr>
      <w:tr>
        <w:trPr>
          <w:cantSplit/>
        </w:trPr>
        <w:tc>
          <w:tcPr>
            <w:tcW w:type="dxa" w:w="24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Utility</w:t>
            </w:r>
          </w:p>
        </w:tc>
        <w:tc>
          <w:tcPr>
            <w:tcW w:type="dxa" w:w="69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PSEG Long Island interconnection status</w:t>
            </w:r>
          </w:p>
        </w:tc>
      </w:tr>
    </w:tbl>
    <w:p>
      <w:pPr>
        <w:pStyle w:val="Heading1"/>
      </w:pPr>
      <w:r>
        <w:t xml:space="preserve">7. Communication Templates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4" w:sz="4"/>
              <w:left w:val="single" w:color="BFC9D4" w:sz="4"/>
              <w:bottom w:val="single" w:color="BFC9D4" w:sz="4"/>
              <w:right w:val="single" w:color="BFC9D4" w:sz="4"/>
            </w:tcBorders>
            <w:shd w:fill="F4F6F8" w:color="auto" w:val="clear"/>
            <w:tcMar>
              <w:top w:type="dxa" w:w="140"/>
              <w:left w:type="dxa" w:w="220"/>
              <w:bottom w:type="dxa" w:w="140"/>
              <w:right w:type="dxa" w:w="220"/>
            </w:tcMar>
          </w:tcPr>
          <w:p>
            <w:pPr>
              <w:spacing w:after="100"/>
            </w:pPr>
            <w:r>
              <w:rPr>
                <w:b/>
                <w:bCs/>
                <w:color w:val="1F3A5F"/>
              </w:rPr>
              <w:t xml:space="preserve">Phone script: pre-submission inquiry</w:t>
            </w:r>
          </w:p>
          <w:p>
            <w:pPr>
              <w:spacing w:after="70"/>
            </w:pPr>
            <w:r>
              <w:rPr>
                <w:i w:val="false"/>
                <w:iCs w:val="false"/>
                <w:sz w:val="20"/>
                <w:szCs w:val="20"/>
              </w:rPr>
              <w:t xml:space="preserve">Good morning, my name is [Name] and I'm calling from [Company] regarding a residential solar permit application for a home at [address]. Do you have a moment for a few quick questions?</w:t>
            </w:r>
          </w:p>
          <w:p>
            <w:pPr>
              <w:spacing w:after="70"/>
            </w:pPr>
            <w:r>
              <w:rPr>
                <w:i w:val="false"/>
                <w:iCs w:val="false"/>
                <w:sz w:val="20"/>
                <w:szCs w:val="20"/>
              </w:rPr>
              <w:t xml:space="preserve">1. Is the current solar application and fast-track form the version posted on your website?</w:t>
            </w:r>
          </w:p>
          <w:p>
            <w:pPr>
              <w:spacing w:after="70"/>
            </w:pPr>
            <w:r>
              <w:rPr>
                <w:i w:val="false"/>
                <w:iCs w:val="false"/>
                <w:sz w:val="20"/>
                <w:szCs w:val="20"/>
              </w:rPr>
              <w:t xml:space="preserve">2. What is the current fee, and how many copies do you need?</w:t>
            </w:r>
          </w:p>
          <w:p>
            <w:pPr>
              <w:spacing w:after="70"/>
            </w:pPr>
            <w:r>
              <w:rPr>
                <w:i w:val="false"/>
                <w:iCs w:val="false"/>
                <w:sz w:val="20"/>
                <w:szCs w:val="20"/>
              </w:rPr>
              <w:t xml:space="preserve">3. Do you accept submissions through your portal, by email, or in person?</w:t>
            </w:r>
          </w:p>
          <w:p>
            <w:pPr>
              <w:spacing w:after="70"/>
            </w:pPr>
            <w:r>
              <w:rPr>
                <w:i w:val="false"/>
                <w:iCs w:val="false"/>
                <w:sz w:val="20"/>
                <w:szCs w:val="20"/>
              </w:rPr>
              <w:t xml:space="preserve">4. Is there anything reviewers commonly flag on solar applications that we should include up front?</w:t>
            </w:r>
          </w:p>
          <w:p>
            <w:pPr>
              <w:spacing w:after="70"/>
            </w:pPr>
            <w:r>
              <w:rPr>
                <w:i w:val="false"/>
                <w:iCs w:val="false"/>
                <w:sz w:val="20"/>
                <w:szCs w:val="20"/>
              </w:rPr>
              <w:t xml:space="preserve">Thank you. May I have your name in case I need to follow up?</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4" w:sz="4"/>
              <w:left w:val="single" w:color="BFC9D4" w:sz="4"/>
              <w:bottom w:val="single" w:color="BFC9D4" w:sz="4"/>
              <w:right w:val="single" w:color="BFC9D4" w:sz="4"/>
            </w:tcBorders>
            <w:shd w:fill="F4F6F8" w:color="auto" w:val="clear"/>
            <w:tcMar>
              <w:top w:type="dxa" w:w="140"/>
              <w:left w:type="dxa" w:w="220"/>
              <w:bottom w:type="dxa" w:w="140"/>
              <w:right w:type="dxa" w:w="220"/>
            </w:tcMar>
          </w:tcPr>
          <w:p>
            <w:pPr>
              <w:spacing w:after="100"/>
            </w:pPr>
            <w:r>
              <w:rPr>
                <w:b/>
                <w:bCs/>
                <w:color w:val="1F3A5F"/>
              </w:rPr>
              <w:t xml:space="preserve">Email: status inquiry</w:t>
            </w:r>
          </w:p>
          <w:p>
            <w:pPr>
              <w:spacing w:after="70"/>
            </w:pPr>
            <w:r>
              <w:rPr>
                <w:i w:val="false"/>
                <w:iCs w:val="false"/>
                <w:sz w:val="20"/>
                <w:szCs w:val="20"/>
              </w:rPr>
              <w:t xml:space="preserve">Subject: Status inquiry: Solar permit, [Address], Application #[number]</w:t>
            </w:r>
          </w:p>
          <w:p>
            <w:pPr>
              <w:spacing w:after="70"/>
            </w:pPr>
            <w:r>
              <w:rPr>
                <w:i w:val="false"/>
                <w:iCs w:val="false"/>
                <w:sz w:val="20"/>
                <w:szCs w:val="20"/>
              </w:rPr>
              <w:t xml:space="preserve">Good morning [Name],</w:t>
            </w:r>
          </w:p>
          <w:p>
            <w:pPr>
              <w:spacing w:after="70"/>
            </w:pPr>
            <w:r>
              <w:rPr>
                <w:i w:val="false"/>
                <w:iCs w:val="false"/>
                <w:sz w:val="20"/>
                <w:szCs w:val="20"/>
              </w:rPr>
              <w:t xml:space="preserve">I'm following up on the residential solar permit application for [address], submitted on [date] (Application #[number]). Could you let me know its current status and whether anything further is needed from us?</w:t>
            </w:r>
          </w:p>
          <w:p>
            <w:pPr>
              <w:spacing w:after="70"/>
            </w:pPr>
            <w:r>
              <w:rPr>
                <w:i w:val="false"/>
                <w:iCs w:val="false"/>
                <w:sz w:val="20"/>
                <w:szCs w:val="20"/>
              </w:rPr>
              <w:t xml:space="preserve">Thank you for your help.</w:t>
            </w:r>
          </w:p>
          <w:p>
            <w:pPr>
              <w:spacing w:after="70"/>
            </w:pPr>
            <w:r>
              <w:rPr>
                <w:i/>
                <w:iCs/>
                <w:sz w:val="20"/>
                <w:szCs w:val="20"/>
              </w:rPr>
              <w:t xml:space="preserve">[Name], [Title], [Company] | [Phone] | [Email]</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4" w:sz="4"/>
              <w:left w:val="single" w:color="BFC9D4" w:sz="4"/>
              <w:bottom w:val="single" w:color="BFC9D4" w:sz="4"/>
              <w:right w:val="single" w:color="BFC9D4" w:sz="4"/>
            </w:tcBorders>
            <w:shd w:fill="F4F6F8" w:color="auto" w:val="clear"/>
            <w:tcMar>
              <w:top w:type="dxa" w:w="140"/>
              <w:left w:type="dxa" w:w="220"/>
              <w:bottom w:type="dxa" w:w="140"/>
              <w:right w:type="dxa" w:w="220"/>
            </w:tcMar>
          </w:tcPr>
          <w:p>
            <w:pPr>
              <w:spacing w:after="100"/>
            </w:pPr>
            <w:r>
              <w:rPr>
                <w:b/>
                <w:bCs/>
                <w:color w:val="1F3A5F"/>
              </w:rPr>
              <w:t xml:space="preserve">Email: correction resubmission</w:t>
            </w:r>
          </w:p>
          <w:p>
            <w:pPr>
              <w:spacing w:after="70"/>
            </w:pPr>
            <w:r>
              <w:rPr>
                <w:i w:val="false"/>
                <w:iCs w:val="false"/>
                <w:sz w:val="20"/>
                <w:szCs w:val="20"/>
              </w:rPr>
              <w:t xml:space="preserve">Subject: Resubmission: Solar permit, [Address], Application #[number]</w:t>
            </w:r>
          </w:p>
          <w:p>
            <w:pPr>
              <w:spacing w:after="70"/>
            </w:pPr>
            <w:r>
              <w:rPr>
                <w:i w:val="false"/>
                <w:iCs w:val="false"/>
                <w:sz w:val="20"/>
                <w:szCs w:val="20"/>
              </w:rPr>
              <w:t xml:space="preserve">Good afternoon [Name],</w:t>
            </w:r>
          </w:p>
          <w:p>
            <w:pPr>
              <w:spacing w:after="70"/>
            </w:pPr>
            <w:r>
              <w:rPr>
                <w:i w:val="false"/>
                <w:iCs w:val="false"/>
                <w:sz w:val="20"/>
                <w:szCs w:val="20"/>
              </w:rPr>
              <w:t xml:space="preserve">Thank you for your review comments dated [date]. Attached are the revised documents. Each comment is addressed below:</w:t>
            </w:r>
          </w:p>
          <w:p>
            <w:pPr>
              <w:spacing w:after="70"/>
            </w:pPr>
            <w:r>
              <w:rPr>
                <w:i w:val="false"/>
                <w:iCs w:val="false"/>
                <w:sz w:val="20"/>
                <w:szCs w:val="20"/>
              </w:rPr>
              <w:t xml:space="preserve">1. [Comment]: [How it was addressed, with sheet reference]</w:t>
            </w:r>
          </w:p>
          <w:p>
            <w:pPr>
              <w:spacing w:after="70"/>
            </w:pPr>
            <w:r>
              <w:rPr>
                <w:i w:val="false"/>
                <w:iCs w:val="false"/>
                <w:sz w:val="20"/>
                <w:szCs w:val="20"/>
              </w:rPr>
              <w:t xml:space="preserve">2. [Comment]: [How it was addressed, with sheet reference]</w:t>
            </w:r>
          </w:p>
          <w:p>
            <w:pPr>
              <w:spacing w:after="70"/>
            </w:pPr>
            <w:r>
              <w:rPr>
                <w:i w:val="false"/>
                <w:iCs w:val="false"/>
                <w:sz w:val="20"/>
                <w:szCs w:val="20"/>
              </w:rPr>
              <w:t xml:space="preserve">Please let me know if anything else is needed.</w:t>
            </w:r>
          </w:p>
          <w:p>
            <w:pPr>
              <w:spacing w:after="70"/>
            </w:pPr>
            <w:r>
              <w:rPr>
                <w:i/>
                <w:iCs/>
                <w:sz w:val="20"/>
                <w:szCs w:val="20"/>
              </w:rPr>
              <w:t xml:space="preserve">[Signature block]</w:t>
            </w:r>
          </w:p>
        </w:tc>
      </w:tr>
    </w:tbl>
    <w:p>
      <w:pPr>
        <w:pStyle w:val="Heading1"/>
      </w:pPr>
      <w:r>
        <w:t xml:space="preserve">8. Common Delays and How to Prevent Them</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00"/>
        <w:gridCol w:w="5560"/>
      </w:tblGrid>
      <w:tr>
        <w:trPr>
          <w:tblHeader/>
        </w:trPr>
        <w:tc>
          <w:tcPr>
            <w:tcW w:type="dxa" w:w="380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Cause of delay</w:t>
            </w:r>
          </w:p>
        </w:tc>
        <w:tc>
          <w:tcPr>
            <w:tcW w:type="dxa" w:w="5560"/>
            <w:tcBorders>
              <w:top w:val="single" w:color="BFC9D4" w:sz="4"/>
              <w:left w:val="single" w:color="BFC9D4" w:sz="4"/>
              <w:bottom w:val="single" w:color="BFC9D4" w:sz="4"/>
              <w:right w:val="single" w:color="BFC9D4" w:sz="4"/>
            </w:tcBorders>
            <w:shd w:fill="1F3A5F" w:color="auto" w:val="clear"/>
            <w:tcMar>
              <w:top w:type="dxa" w:w="80"/>
              <w:left w:type="dxa" w:w="110"/>
              <w:bottom w:type="dxa" w:w="80"/>
              <w:right w:type="dxa" w:w="110"/>
            </w:tcMar>
          </w:tcPr>
          <w:p>
            <w:pPr>
              <w:spacing w:after="40"/>
            </w:pPr>
            <w:r>
              <w:rPr>
                <w:b/>
                <w:bCs/>
                <w:color w:val="FFFFFF"/>
                <w:sz w:val="19"/>
                <w:szCs w:val="19"/>
              </w:rPr>
              <w:t xml:space="preserve">Prevention</w:t>
            </w:r>
          </w:p>
        </w:tc>
      </w:tr>
      <w:tr>
        <w:trPr>
          <w:cantSplit/>
        </w:trPr>
        <w:tc>
          <w:tcPr>
            <w:tcW w:type="dxa" w:w="38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Submitted to the wrong municipality</w:t>
            </w:r>
          </w:p>
        </w:tc>
        <w:tc>
          <w:tcPr>
            <w:tcW w:type="dxa" w:w="55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Confirm village vs. town jurisdiction from the tax map before starting</w:t>
            </w:r>
          </w:p>
        </w:tc>
      </w:tr>
      <w:tr>
        <w:trPr>
          <w:cantSplit/>
        </w:trPr>
        <w:tc>
          <w:tcPr>
            <w:tcW w:type="dxa" w:w="38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Outdated forms or fees</w:t>
            </w:r>
          </w:p>
        </w:tc>
        <w:tc>
          <w:tcPr>
            <w:tcW w:type="dxa" w:w="55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Pull fresh forms from the municipal site for each first submission</w:t>
            </w:r>
          </w:p>
        </w:tc>
      </w:tr>
      <w:tr>
        <w:trPr>
          <w:cantSplit/>
        </w:trPr>
        <w:tc>
          <w:tcPr>
            <w:tcW w:type="dxa" w:w="38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Incomplete package</w:t>
            </w:r>
          </w:p>
        </w:tc>
        <w:tc>
          <w:tcPr>
            <w:tcW w:type="dxa" w:w="55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Check against the municipality's checklist; use an internal pre-submission review</w:t>
            </w:r>
          </w:p>
        </w:tc>
      </w:tr>
      <w:tr>
        <w:trPr>
          <w:cantSplit/>
        </w:trPr>
        <w:tc>
          <w:tcPr>
            <w:tcW w:type="dxa" w:w="38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Open permits or missing certificates of occupancy</w:t>
            </w:r>
          </w:p>
        </w:tc>
        <w:tc>
          <w:tcPr>
            <w:tcW w:type="dxa" w:w="55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Research property permit history early; flag issues to sales and the customer</w:t>
            </w:r>
          </w:p>
        </w:tc>
      </w:tr>
      <w:tr>
        <w:trPr>
          <w:cantSplit/>
        </w:trPr>
        <w:tc>
          <w:tcPr>
            <w:tcW w:type="dxa" w:w="38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Expired license or insurance certificates</w:t>
            </w:r>
          </w:p>
        </w:tc>
        <w:tc>
          <w:tcPr>
            <w:tcW w:type="dxa" w:w="55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Track expiration dates centrally and renew ahead of time</w:t>
            </w:r>
          </w:p>
        </w:tc>
      </w:tr>
      <w:tr>
        <w:trPr>
          <w:cantSplit/>
        </w:trPr>
        <w:tc>
          <w:tcPr>
            <w:tcW w:type="dxa" w:w="380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Unanswered correction notices</w:t>
            </w:r>
          </w:p>
        </w:tc>
        <w:tc>
          <w:tcPr>
            <w:tcW w:type="dxa" w:w="5560"/>
            <w:tcBorders>
              <w:top w:val="single" w:color="BFC9D4" w:sz="4"/>
              <w:left w:val="single" w:color="BFC9D4" w:sz="4"/>
              <w:bottom w:val="single" w:color="BFC9D4" w:sz="4"/>
              <w:right w:val="single" w:color="BFC9D4" w:sz="4"/>
            </w:tcBorders>
            <w:shd w:fill="EAF0F6" w:color="auto" w:val="clear"/>
            <w:tcMar>
              <w:top w:type="dxa" w:w="80"/>
              <w:left w:type="dxa" w:w="110"/>
              <w:bottom w:type="dxa" w:w="80"/>
              <w:right w:type="dxa" w:w="110"/>
            </w:tcMar>
          </w:tcPr>
          <w:p>
            <w:pPr>
              <w:spacing w:after="40"/>
            </w:pPr>
            <w:r>
              <w:rPr>
                <w:sz w:val="19"/>
                <w:szCs w:val="19"/>
              </w:rPr>
              <w:t xml:space="preserve">Same-day acknowledgment and a named owner for each resubmission</w:t>
            </w:r>
          </w:p>
        </w:tc>
      </w:tr>
      <w:tr>
        <w:trPr>
          <w:cantSplit/>
        </w:trPr>
        <w:tc>
          <w:tcPr>
            <w:tcW w:type="dxa" w:w="380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No follow-up</w:t>
            </w:r>
          </w:p>
        </w:tc>
        <w:tc>
          <w:tcPr>
            <w:tcW w:type="dxa" w:w="5560"/>
            <w:tcBorders>
              <w:top w:val="single" w:color="BFC9D4" w:sz="4"/>
              <w:left w:val="single" w:color="BFC9D4" w:sz="4"/>
              <w:bottom w:val="single" w:color="BFC9D4" w:sz="4"/>
              <w:right w:val="single" w:color="BFC9D4" w:sz="4"/>
            </w:tcBorders>
            <w:tcMar>
              <w:top w:type="dxa" w:w="80"/>
              <w:left w:type="dxa" w:w="110"/>
              <w:bottom w:type="dxa" w:w="80"/>
              <w:right w:type="dxa" w:w="110"/>
            </w:tcMar>
          </w:tcPr>
          <w:p>
            <w:pPr>
              <w:spacing w:after="40"/>
            </w:pPr>
            <w:r>
              <w:rPr>
                <w:sz w:val="19"/>
                <w:szCs w:val="19"/>
              </w:rPr>
              <w:t xml:space="preserve">Scheduled follow-up dates in the tracking log for every open application</w:t>
            </w:r>
          </w:p>
        </w:tc>
      </w:tr>
    </w:tbl>
    <w:p>
      <w:pPr>
        <w:pStyle w:val="Heading1"/>
      </w:pPr>
      <w:r>
        <w:t xml:space="preserve">Sources</w:t>
      </w:r>
    </w:p>
    <w:p>
      <w:pPr>
        <w:pStyle w:val="ListParagraph"/>
        <w:numPr>
          <w:ilvl w:val="0"/>
          <w:numId w:val="2"/>
        </w:numPr>
        <w:spacing w:after="60" w:line="264"/>
      </w:pPr>
      <w:r>
        <w:rPr>
          <w:color w:val="5A5A5A"/>
          <w:sz w:val="18"/>
          <w:szCs w:val="18"/>
        </w:rPr>
        <w:t xml:space="preserve">Nassau County, Cities, Towns &amp; Villages: nassaucountyny.gov/3406/Cities-Towns-Villages</w:t>
      </w:r>
    </w:p>
    <w:p>
      <w:pPr>
        <w:pStyle w:val="ListParagraph"/>
        <w:numPr>
          <w:ilvl w:val="0"/>
          <w:numId w:val="2"/>
        </w:numPr>
        <w:spacing w:after="60" w:line="264"/>
      </w:pPr>
      <w:r>
        <w:rPr>
          <w:color w:val="5A5A5A"/>
          <w:sz w:val="18"/>
          <w:szCs w:val="18"/>
        </w:rPr>
        <w:t xml:space="preserve">NY.gov, Suffolk County: ny.gov/counties/suffolk</w:t>
      </w:r>
    </w:p>
    <w:p>
      <w:pPr>
        <w:pStyle w:val="ListParagraph"/>
        <w:numPr>
          <w:ilvl w:val="0"/>
          <w:numId w:val="2"/>
        </w:numPr>
        <w:spacing w:after="60" w:line="264"/>
      </w:pPr>
      <w:r>
        <w:rPr>
          <w:color w:val="5A5A5A"/>
          <w:sz w:val="18"/>
          <w:szCs w:val="18"/>
        </w:rPr>
        <w:t xml:space="preserve">NYSERDA, Long Island Unified Solar Permitting Initiative background (LIPA permit application guidance)</w:t>
      </w:r>
    </w:p>
    <w:p>
      <w:pPr>
        <w:pStyle w:val="ListParagraph"/>
        <w:numPr>
          <w:ilvl w:val="0"/>
          <w:numId w:val="2"/>
        </w:numPr>
        <w:spacing w:after="60" w:line="264"/>
      </w:pPr>
      <w:r>
        <w:rPr>
          <w:color w:val="5A5A5A"/>
          <w:sz w:val="18"/>
          <w:szCs w:val="18"/>
        </w:rPr>
        <w:t xml:space="preserve">NY Solar Map (CUNY), NYS Unified Solar Permit and adopters: nysolarmap.com</w:t>
      </w:r>
    </w:p>
    <w:p>
      <w:pPr>
        <w:pStyle w:val="ListParagraph"/>
        <w:numPr>
          <w:ilvl w:val="0"/>
          <w:numId w:val="2"/>
        </w:numPr>
        <w:spacing w:after="60" w:line="264"/>
      </w:pPr>
      <w:r>
        <w:rPr>
          <w:color w:val="5A5A5A"/>
          <w:sz w:val="18"/>
          <w:szCs w:val="18"/>
        </w:rPr>
        <w:t xml:space="preserve">Town of Hempstead, Instructions for Filing Solar Panels; Online Permit Center: hempsteadny.gov</w:t>
      </w:r>
    </w:p>
    <w:p>
      <w:pPr>
        <w:pStyle w:val="ListParagraph"/>
        <w:numPr>
          <w:ilvl w:val="0"/>
          <w:numId w:val="2"/>
        </w:numPr>
        <w:spacing w:after="60" w:line="264"/>
      </w:pPr>
      <w:r>
        <w:rPr>
          <w:color w:val="5A5A5A"/>
          <w:sz w:val="18"/>
          <w:szCs w:val="18"/>
        </w:rPr>
        <w:t xml:space="preserve">Town of Huntington, Requirements for Solar Panel Permit; Town Code Ch. 157 Art. III: huntingtonny.gov</w:t>
      </w:r>
    </w:p>
    <w:p>
      <w:pPr>
        <w:pStyle w:val="ListParagraph"/>
        <w:numPr>
          <w:ilvl w:val="0"/>
          <w:numId w:val="2"/>
        </w:numPr>
        <w:spacing w:after="60" w:line="264"/>
      </w:pPr>
      <w:r>
        <w:rPr>
          <w:color w:val="5A5A5A"/>
          <w:sz w:val="18"/>
          <w:szCs w:val="18"/>
        </w:rPr>
        <w:t xml:space="preserve">Town of Brookhaven, Building Division and Solar Affidavit: brookhavenny.gov</w:t>
      </w:r>
    </w:p>
    <w:p>
      <w:pPr>
        <w:pStyle w:val="ListParagraph"/>
        <w:numPr>
          <w:ilvl w:val="0"/>
          <w:numId w:val="2"/>
        </w:numPr>
        <w:spacing w:after="60" w:line="264"/>
      </w:pPr>
      <w:r>
        <w:rPr>
          <w:color w:val="5A5A5A"/>
          <w:sz w:val="18"/>
          <w:szCs w:val="18"/>
        </w:rPr>
        <w:t xml:space="preserve">PSEG Long Island, Small Generator Interconnection Procedures: psegliny.com</w:t>
      </w:r>
    </w:p>
    <w:p>
      <w:pPr>
        <w:pStyle w:val="ListParagraph"/>
        <w:numPr>
          <w:ilvl w:val="0"/>
          <w:numId w:val="2"/>
        </w:numPr>
        <w:spacing w:after="60" w:line="264"/>
      </w:pPr>
      <w:r>
        <w:rPr>
          <w:color w:val="5A5A5A"/>
          <w:sz w:val="18"/>
          <w:szCs w:val="18"/>
        </w:rPr>
        <w:t xml:space="preserve">Nassau County Office of Consumer Affairs, Obtaining a Home Improvement License: nassaucountyny.gov</w:t>
      </w:r>
    </w:p>
    <w:p>
      <w:pPr>
        <w:spacing w:after="120" w:line="276"/>
      </w:pPr>
      <w:r>
        <w:rPr>
          <w:i/>
          <w:iCs/>
          <w:color w:val="5A5A5A"/>
          <w:sz w:val="18"/>
          <w:szCs w:val="18"/>
        </w:rPr>
        <w:t xml:space="preserve">Fees, forms, and contact details were current as of research in September 2026 and should be verified with each municipality before use.</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A5A5A"/>
        <w:sz w:val="16"/>
        <w:szCs w:val="16"/>
      </w:rPr>
      <w:t xml:space="preserve">Page </w:t>
    </w:r>
    <w:r>
      <w:rPr>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A5A5A"/>
        <w:sz w:val="16"/>
        <w:szCs w:val="16"/>
      </w:rPr>
      <w:t xml:space="preserve">Residential Solar Permitting  |  Nassau &amp; Suffolk Counties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8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320"/>
      <w:outlineLvl w:val="0"/>
    </w:pPr>
    <w:rPr>
      <w:rFonts w:ascii="Calibri" w:cs="Calibri" w:eastAsia="Calibri" w:hAnsi="Calibri"/>
      <w:b/>
      <w:bCs/>
      <w:color w:val="1F3A5F"/>
      <w:sz w:val="30"/>
      <w:szCs w:val="30"/>
    </w:rPr>
  </w:style>
  <w:style w:type="paragraph" w:styleId="Heading2">
    <w:name w:val="Heading 2"/>
    <w:basedOn w:val="Normal"/>
    <w:next w:val="Normal"/>
    <w:qFormat/>
    <w:pPr>
      <w:spacing w:after="100" w:before="220"/>
      <w:outlineLvl w:val="1"/>
    </w:pPr>
    <w:rPr>
      <w:rFonts w:ascii="Calibri" w:cs="Calibri" w:eastAsia="Calibri" w:hAnsi="Calibri"/>
      <w:b/>
      <w:bCs/>
      <w:color w:val="1F3A5F"/>
      <w:sz w:val="24"/>
      <w:szCs w:val="24"/>
    </w:rPr>
  </w:style>
  <w:style w:type="paragraph" w:styleId="Heading3">
    <w:name w:val="Heading 3"/>
    <w:basedOn w:val="Normal"/>
    <w:next w:val="Normal"/>
    <w:qFormat/>
    <w:pPr>
      <w:spacing w:after="80" w:before="180"/>
      <w:outlineLvl w:val="2"/>
    </w:pPr>
    <w:rPr>
      <w:rFonts w:ascii="Calibri" w:cs="Calibri" w:eastAsia="Calibri" w:hAnsi="Calibri"/>
      <w:b/>
      <w:bCs/>
      <w:color w:val="E8A317"/>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Solar Permitting: Municipal Communication Process</dc:title>
  <dc:creator>Dan Devine</dc:creator>
  <cp:lastModifiedBy>Un-named</cp:lastModifiedBy>
  <cp:revision>1</cp:revision>
  <dcterms:created xsi:type="dcterms:W3CDTF">2026-09-27T09:24:48.627Z</dcterms:created>
  <dcterms:modified xsi:type="dcterms:W3CDTF">2026-09-27T09:24:48.627Z</dcterms:modified>
</cp:coreProperties>
</file>

<file path=docProps/custom.xml><?xml version="1.0" encoding="utf-8"?>
<Properties xmlns="http://schemas.openxmlformats.org/officeDocument/2006/custom-properties" xmlns:vt="http://schemas.openxmlformats.org/officeDocument/2006/docPropsVTypes"/>
</file>